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347</w:t>
      </w:r>
    </w:p>
    <w:p>
      <w:r>
        <w:t>Bundesgericht (BGE), 2002-08-05, FR</w:t>
      </w:r>
    </w:p>
    <w:p>
      <w:r>
        <w:rPr>
          <w:b/>
        </w:rPr>
        <w:t xml:space="preserve">Quelle: </w:t>
      </w:r>
      <w:r>
        <w:t>https://mcp.opencaselaw.ch/entscheid/bge_130 I 347</w:t>
      </w:r>
    </w:p>
    <w:p>
      <w:r>
        <w:t>FR: ATF 130 I 347</w:t>
      </w:r>
    </w:p>
    <w:p>
      <w:r>
        <w:t>IT: DTF 130 I 347</w:t>
      </w:r>
    </w:p>
    <w:p>
      <w:pPr>
        <w:pStyle w:val="Heading2"/>
      </w:pPr>
      <w:r>
        <w:t>Regeste</w:t>
      </w:r>
    </w:p>
    <w:p>
      <w:r>
        <w:t>Regeste Art. 9 BV und 482 ZPO/VD; Gesuch um Erläuterung eines Urteils betreffend Abänderung eines Scheidungsurteils. Ein Dispositiv, das sich nicht über sämtliche, für die Zeit ab Einreichung der Klage auf Abänderung eines Scheidungsurteils geschuldeten Unterhaltsbeiträge ausspricht, ist - in Anbetracht der Urteilserwägungen - unvollständig (E. 3).</w:t>
      </w:r>
    </w:p>
    <w:p>
      <w:pPr>
        <w:pStyle w:val="Heading2"/>
      </w:pPr>
      <w:r>
        <w:t>Erwägungen</w:t>
      </w:r>
    </w:p>
    <w:p>
      <w:r>
        <w:rPr>
          <w:b/>
        </w:rPr>
        <w:t>E. 3</w:t>
      </w:r>
    </w:p>
    <w:p>
      <w:r>
        <w:t>Bien que la formulation du recours soit sur ce point quelque peu confuse, on comprend de façon suffisamment claire, sous l'angle BGE 130 I 347 S. 349 de l' art. 90 al. 1 let. b OJ , que le recourant se plaint d'une application insoutenable du droit cantonal de procédure. En substance, la cour cantonale aurait arbitrairement considéré que le dispositif de l'arrêt modifiant le jugement de divorce n'est pas équivoque, incomplet, contradictoire en lui-même ou avec les motifs de l'arrêt au sens de l'art. 482 du code de procédure civile vaudois (CPC/VD). Selon le recourant, en se bornant à dire que le débirentier doit verser à la crédirentière "une rente mensuelle ( art. 151 CC ) [...] de 1'500 fr. dès le 1 er septembre 2002", le dispositif de l'arrêt du 18 décembre 2002 laisserait supposer que le débirentier doit, jusqu'à cette date, payer 6'000 fr. (recte: 6'500 fr.) par mois, ce qui ne ressortirait pas du considérant six de l'arrêt.</w:t>
      </w:r>
    </w:p>
    <w:p>
      <w:r>
        <w:rPr>
          <w:b/>
        </w:rPr>
        <w:t>E. 3.1</w:t>
      </w:r>
    </w:p>
    <w:p>
      <w:r>
        <w:t>D'après la Chambre des recours, le dispositif litigieux est tout à fait clair, complet et cohérent et ne nécessite pas une interprétation selon l' art. 482 CPC /VD. La question en jeu, à savoir celle de la date d'entrée en vigueur de la nouvelle pension, est réglée dans le dispositif conformément au considérant six de l'arrêt: la contribution est due à partir du mois suivant (c'est-à-dire dès le 1 er septembre 2002) le jugement de première instance modifiant la rente, lequel a été rendu le 5 août 2002. En réalité, le problème ne réside pas dans l'interprétation de l'arrêt du 18 décembre 2002, mais dans la coordination des mesures provisoires et de la décision au fond. Vu l'ordonnance de mesures provisoires du 11 octobre 2000, le montant de la rente a été réduit à 3'000 fr. par mois dès octobre 2000 et, à la suite de l'arrêt du 18 décembre 2002, aujourd'hui définitif et exécutoire, à 1'500 fr. dès septembre 2002, alors même que les mesures provisoires sont, en principe, efficaces jusqu'à jugement exécutoire sur le fond ( art. 114 al. 1 CPC /VD), c'est-à-dire, en l'espèce, jusqu'à l'expiration du délai de recours en réforme au Tribunal fédéral contre l'arrêt du 18 décembre 2002. En effet, si l'action en modification est, comme en l'espèce, fondée, les montants que le débiteur a payés provisoirement ne sont pas dus. La date d'entrée en vigueur de la nouvelle pension, selon le jugement au fond, prime celle fixée par mesures provisoires, car celles-ci n'ont pas autorité de chose jugée.</w:t>
      </w:r>
    </w:p>
    <w:p>
      <w:r>
        <w:rPr>
          <w:b/>
        </w:rPr>
        <w:t>E. 3.2</w:t>
      </w:r>
    </w:p>
    <w:p>
      <w:r>
        <w:t>En refusant, pour ces motifs - au demeurant erronés -, de faire application de l' art. 482 CPC /VD, selon lequel il y a lieu à interprétation d'un jugement définitif ou d'un arrêt lorsque le dispositif en est équivoque, incomplet, contradictoire ou encore lorsque, par une inadvertance manifeste, le dispositif est en contradiction BGE 130 I 347 S. 350 flagrante avec les motifs, la Chambre des recours a versé dans l'arbitraire. Par opposition aux mesures de réglementation que sont les mesures provisoires ordonnées pour la durée de la procédure de divorce, lesquelles sont définitivement acquises et s'appliquent jusqu'à ce que les pensions fixées par le jugement de divorce prennent effet ( ATF 128 III 121 consid. 3c/bb p. 123), la diminution ou la suppression de la contribution d'entretien à titre provisoire dans le cadre d'une action en modification du jugement de divorce constitue une mesure d'exécution anticipée, dont le sort définitif sera réglé dans le jugement de modification au fond ( ATF 117 II 368 consid. 4c/bb p. 371). Cela signifie qu'il appartient au juge de la modification de statuer dans le dispositif sur les contributions dues pour toute la période courant dès l'ouverture de l'action, les montants alloués en mesures provisoires étant décomptés. En l'espèce, il résulte à l'évidence des motifs de l'arrêt du 18 décembre 2002 que les juges cantonaux saisis notamment du recours de la créancière qui limitait ses conclusions au montant de 3'000 fr. dès le 1 er janvier 2000, n'ont pas voulu que le débirentier doive payer encore à son ex-femme 3'500 fr. - soit la différence par rapport aux 6'500 fr. arrêtés dans le cadre du divorce - pour la période courant du 1 er octobre 2000 au 1 er septembre 2002. En examinant si l'ex-épouse du recourant devait rembourser "un montant de quelque 36'000 fr. au minimum", correspondant à 24 mensualités de 1'500 fr., ce dernier montant représentant la différence entre la contribution de 3'000 fr. allouée dès le 1 er octobre 2000 sur mesures provisoires et celle réduite à 1'500 fr. dès le 1 er septembre 2002 au terme de la procédure en modification, cette autorité a incontestablement considéré que la crédirentière avait droit à 6'500 fr. jusqu'au 1 er octobre 2000 et 3'000 fr. par mois dès cette date. Au vu de ces considérations, le dispositif de l'arrêt du 18 décembre 2002, qui se borne à constater que le recourant doit verser une contribution de 1'500 fr. par mois dès le 1 er septembre 2002, était dès lors clairement incomplet.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